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283691E5" w:rsidR="009A7D3A" w:rsidRPr="008E42C9" w:rsidRDefault="009A7D3A" w:rsidP="00986B1F">
      <w:pPr>
        <w:jc w:val="right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8E42C9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8E42C9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  <w:r w:rsidRPr="008E42C9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>Приложение 3</w:t>
      </w:r>
    </w:p>
    <w:p w14:paraId="18A13EAF" w14:textId="77777777" w:rsidR="00986B1F" w:rsidRPr="00986B1F" w:rsidRDefault="00986B1F" w:rsidP="00986B1F">
      <w:pPr>
        <w:jc w:val="both"/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</w:pPr>
    </w:p>
    <w:p w14:paraId="7CEE8FF8" w14:textId="4D26CC91" w:rsidR="00986B1F" w:rsidRDefault="00986B1F" w:rsidP="00986B1F">
      <w:pPr>
        <w:jc w:val="center"/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</w:pPr>
      <w:r w:rsidRPr="00986B1F"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  <w:t>ЦЕНОВА ТАБЛИЦА №1</w:t>
      </w:r>
    </w:p>
    <w:p w14:paraId="6482B861" w14:textId="77777777" w:rsidR="00986B1F" w:rsidRPr="00986B1F" w:rsidRDefault="00986B1F" w:rsidP="00986B1F">
      <w:pPr>
        <w:jc w:val="center"/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</w:pPr>
    </w:p>
    <w:tbl>
      <w:tblPr>
        <w:tblW w:w="99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7823"/>
        <w:gridCol w:w="1583"/>
        <w:gridCol w:w="13"/>
      </w:tblGrid>
      <w:tr w:rsidR="00986B1F" w:rsidRPr="00986B1F" w14:paraId="2DEF33BF" w14:textId="77777777" w:rsidTr="002E60D4">
        <w:trPr>
          <w:trHeight w:val="385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1979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bookmarkStart w:id="0" w:name="_Hlk204092221"/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78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24E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Дейности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911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Стойност в лева без ДДС</w:t>
            </w:r>
          </w:p>
        </w:tc>
      </w:tr>
      <w:bookmarkEnd w:id="0"/>
      <w:tr w:rsidR="00986B1F" w:rsidRPr="00986B1F" w14:paraId="32F6FD5F" w14:textId="77777777" w:rsidTr="002E60D4">
        <w:trPr>
          <w:trHeight w:val="647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E60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53A4700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6669C6A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02F7E5C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7B3660E6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7030497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077E8EE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1D3E0553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6F5EF1D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28713AF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1AEF2E6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  <w:p w14:paraId="64D4131C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7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166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 xml:space="preserve">Техническа поддръжка на 18 броя </w:t>
            </w:r>
            <w:proofErr w:type="spellStart"/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дъждомерни</w:t>
            </w:r>
            <w:proofErr w:type="spellEnd"/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 xml:space="preserve"> станции, включваща:</w:t>
            </w:r>
          </w:p>
        </w:tc>
        <w:tc>
          <w:tcPr>
            <w:tcW w:w="159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4EB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5321CD9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  </w:t>
            </w:r>
          </w:p>
          <w:p w14:paraId="52DA325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17CAFF5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61B17E9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71537C7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2AD9DD5C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030DD1E4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4439C589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775BEAF7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1C52008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10EB7CE3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3522C04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1136EC9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  <w:p w14:paraId="031E0D7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bookmarkStart w:id="1" w:name="_GoBack"/>
            <w:bookmarkEnd w:id="1"/>
          </w:p>
        </w:tc>
      </w:tr>
      <w:tr w:rsidR="00986B1F" w:rsidRPr="00986B1F" w14:paraId="62328260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3046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9FB5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Посещение на станциите от експерт.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AB8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2CD8970E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C0892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3C56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Почистване на дъждомерите.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9EA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57EC8E93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27CFE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8B68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Тест на слънчевия панел.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F61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33789C38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2687A7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DADF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Проверка наклона на слънчевия панел и южното подравняване, корекции ако е необходимо.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889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5C4D05A6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0DD82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1DE9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Проверка на цялата инсталация.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6F2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741719CA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EA82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4A11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Проверка на точността на дъждомера, повторно калибриране ако е необходимо.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319C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264C82DC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455EB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1734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 xml:space="preserve">Проверка на батерията. </w:t>
            </w:r>
          </w:p>
          <w:p w14:paraId="1239EA61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Ремонт на части от станциите.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3F76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6D52057C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450876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8F33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Почистване и компресиране на базата данни.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8CCB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3252E28C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A959A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8CB9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Надстройка на софтуера на шлюза до последната версия на съществуващата версия.</w:t>
            </w:r>
          </w:p>
        </w:tc>
        <w:tc>
          <w:tcPr>
            <w:tcW w:w="159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4E0777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6594D8A2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C9ED0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DD8B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 xml:space="preserve">Надстройка на софтуера до последната версия на съществуващата версия. 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561B04D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3C5122C8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47B1B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A4C7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Архивиране на програмата за шлюз (Gateway).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445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39E1EF51" w14:textId="77777777" w:rsidTr="002E60D4">
        <w:trPr>
          <w:trHeight w:val="287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02B73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979E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Пълно архивиране на софтуера и измерванията.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751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03646746" w14:textId="77777777" w:rsidTr="002E60D4">
        <w:trPr>
          <w:trHeight w:val="461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A6D416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2BC8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Две спешни посещения на две станции годишно при подаден писмен сигнал от страна на Възложителя.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EA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66500243" w14:textId="77777777" w:rsidTr="002E60D4">
        <w:trPr>
          <w:trHeight w:val="589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A9A1C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E810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Отстраняване на инциденти и проблеми, свързани със софтуера и базата с данни към него</w:t>
            </w: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en-US" w:eastAsia="bg-BG"/>
              </w:rPr>
              <w:t>.</w:t>
            </w: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50A7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75835948" w14:textId="77777777" w:rsidTr="002E60D4">
        <w:trPr>
          <w:trHeight w:val="523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73BE4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6508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Отстраняване на инциденти и проблеми, свързани с Gateway A850</w:t>
            </w: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en-US" w:eastAsia="bg-BG"/>
              </w:rPr>
              <w:t>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BE3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10B7DE29" w14:textId="77777777" w:rsidTr="002E60D4">
        <w:trPr>
          <w:trHeight w:val="523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5062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CB09A0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Допълнителни посещения на дъждомерни станции, при подаден писмен сигнал от страна на възложителя, в случай на установена неизправност (до 10бр.)</w:t>
            </w: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en-US" w:eastAsia="bg-BG"/>
              </w:rPr>
              <w:t>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FCB6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79D73E25" w14:textId="77777777" w:rsidTr="002E60D4">
        <w:trPr>
          <w:trHeight w:val="523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29119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1573DA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Надстройка на софтуер за обработка, трансфер и визуализация на данни до последната версия на съществуващата версия/АDVANTAGE PRO 6.6/</w:t>
            </w: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en-US" w:eastAsia="bg-BG"/>
              </w:rPr>
              <w:t>.</w:t>
            </w:r>
          </w:p>
        </w:tc>
        <w:tc>
          <w:tcPr>
            <w:tcW w:w="1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512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60E1C545" w14:textId="77777777" w:rsidTr="002E60D4">
        <w:trPr>
          <w:trHeight w:val="784"/>
          <w:jc w:val="center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7805A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7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CD62" w14:textId="77777777" w:rsidR="00986B1F" w:rsidRPr="00986B1F" w:rsidRDefault="00986B1F" w:rsidP="00986B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Създаване и програмиране на потребителски профили /с цел връзка с други платформи, SCADA и т</w:t>
            </w: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  <w:t>.н./</w:t>
            </w:r>
            <w:r w:rsidRPr="00986B1F"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en-US" w:eastAsia="bg-BG"/>
              </w:rPr>
              <w:t>.</w:t>
            </w:r>
          </w:p>
        </w:tc>
        <w:tc>
          <w:tcPr>
            <w:tcW w:w="159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E9C9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noProof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2E60D4" w:rsidRPr="00986B1F" w14:paraId="20C6FFB6" w14:textId="77777777" w:rsidTr="002E60D4">
        <w:trPr>
          <w:gridAfter w:val="1"/>
          <w:wAfter w:w="13" w:type="dxa"/>
          <w:trHeight w:val="259"/>
          <w:jc w:val="center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63BD" w14:textId="77777777" w:rsidR="002E60D4" w:rsidRPr="00986B1F" w:rsidRDefault="002E60D4" w:rsidP="00CE7391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Общо: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1E8D" w14:textId="77777777" w:rsidR="002E60D4" w:rsidRPr="00986B1F" w:rsidRDefault="002E60D4" w:rsidP="00CE7391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5059CE91" w14:textId="77777777" w:rsidR="00986B1F" w:rsidRPr="00986B1F" w:rsidRDefault="00986B1F" w:rsidP="00986B1F">
      <w:pPr>
        <w:jc w:val="both"/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</w:pPr>
    </w:p>
    <w:p w14:paraId="20567D19" w14:textId="77777777" w:rsidR="00986B1F" w:rsidRPr="00986B1F" w:rsidRDefault="00986B1F" w:rsidP="00986B1F">
      <w:pPr>
        <w:jc w:val="both"/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</w:pPr>
    </w:p>
    <w:p w14:paraId="3109FB8E" w14:textId="1C8F512A" w:rsidR="00986B1F" w:rsidRPr="00986B1F" w:rsidRDefault="00986B1F" w:rsidP="00986B1F">
      <w:pPr>
        <w:jc w:val="center"/>
        <w:rPr>
          <w:rFonts w:ascii="Times New Roman" w:eastAsia="Calibri" w:hAnsi="Times New Roman"/>
          <w:b/>
          <w:spacing w:val="0"/>
          <w:sz w:val="22"/>
          <w:szCs w:val="22"/>
          <w:lang w:val="en-US"/>
        </w:rPr>
      </w:pPr>
      <w:r w:rsidRPr="00986B1F"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  <w:t>ЦЕНОВА ТАБЛИЦА № 2</w:t>
      </w:r>
      <w:r>
        <w:rPr>
          <w:rFonts w:ascii="Times New Roman" w:eastAsia="Calibri" w:hAnsi="Times New Roman"/>
          <w:b/>
          <w:spacing w:val="0"/>
          <w:sz w:val="22"/>
          <w:szCs w:val="22"/>
          <w:lang w:val="en-US"/>
        </w:rPr>
        <w:t xml:space="preserve"> - </w:t>
      </w:r>
      <w:r w:rsidRPr="00986B1F"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  <w:t>Списък с резервни части</w:t>
      </w:r>
    </w:p>
    <w:p w14:paraId="67043766" w14:textId="6DBAB377" w:rsidR="00986B1F" w:rsidRPr="00986B1F" w:rsidRDefault="00986B1F" w:rsidP="00986B1F">
      <w:pPr>
        <w:widowControl w:val="0"/>
        <w:jc w:val="center"/>
        <w:rPr>
          <w:rFonts w:ascii="Times New Roman" w:eastAsia="Calibri" w:hAnsi="Times New Roman"/>
          <w:b/>
          <w:spacing w:val="0"/>
          <w:sz w:val="22"/>
          <w:szCs w:val="22"/>
          <w:lang w:val="bg-BG"/>
        </w:rPr>
      </w:pPr>
    </w:p>
    <w:tbl>
      <w:tblPr>
        <w:tblW w:w="99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1643"/>
        <w:gridCol w:w="3059"/>
        <w:gridCol w:w="543"/>
        <w:gridCol w:w="1861"/>
      </w:tblGrid>
      <w:tr w:rsidR="00986B1F" w:rsidRPr="00986B1F" w14:paraId="4C25BF4D" w14:textId="77777777" w:rsidTr="00986B1F">
        <w:trPr>
          <w:trHeight w:val="389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2277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Модел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03F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Производител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520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Описание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D57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2B2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Ед. цена в лева без ДДС</w:t>
            </w:r>
          </w:p>
        </w:tc>
      </w:tr>
      <w:tr w:rsidR="00986B1F" w:rsidRPr="00986B1F" w14:paraId="52A474CD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CD07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A800000275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808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OTT-ADCON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8B1C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Батерия за Дистанционно терминално устройство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9E7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2224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732A1CBE" w14:textId="77777777" w:rsidTr="00986B1F">
        <w:trPr>
          <w:trHeight w:val="37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BF6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BD16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OTT-ADCON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CE74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Батерия за соларен панел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33B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21A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71187B0A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A8C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8DD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proofErr w:type="spellStart"/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Local</w:t>
            </w:r>
            <w:proofErr w:type="spellEnd"/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 xml:space="preserve"> Market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4A04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Антена за Дистанционно терминално устройство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530B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B3C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571EE04F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17FC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A100760000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F7F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OTT-ADCON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806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 xml:space="preserve">Дата </w:t>
            </w:r>
            <w:proofErr w:type="spellStart"/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логер</w:t>
            </w:r>
            <w:proofErr w:type="spellEnd"/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2E4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8C5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20DE1B2A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0B3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lastRenderedPageBreak/>
              <w:t>HD2015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38FC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DELTAOHM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0CF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Дъждомер</w:t>
            </w:r>
          </w:p>
          <w:p w14:paraId="437D200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59E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E22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69C00753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4D7E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HD2013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C656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DELTAOHM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229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Дъждомер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EBBD9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535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23C2F6BF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F49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EF5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proofErr w:type="spellStart"/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Local</w:t>
            </w:r>
            <w:proofErr w:type="spellEnd"/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 xml:space="preserve"> Market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DC2B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20W слънчев панел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0A2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69C9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0D1FE21B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D61B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A200733522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7FA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OTT-ADCON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270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Соларен панел за Дистанционно терминално устройство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0CB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BC84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32F818FA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EA98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995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proofErr w:type="spellStart"/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Local</w:t>
            </w:r>
            <w:proofErr w:type="spellEnd"/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 xml:space="preserve"> Market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98F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Скоби, винтове, дюбели, тръба, стойка/панел/, стойка, болтове, гайки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E0DD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688A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  <w:tr w:rsidR="00986B1F" w:rsidRPr="00986B1F" w14:paraId="736BDC9E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F40E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proofErr w:type="spellStart"/>
            <w:r w:rsidRPr="00986B1F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Gateway</w:t>
            </w:r>
            <w:proofErr w:type="spellEnd"/>
            <w:r w:rsidRPr="00986B1F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A850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9A7A3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D714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Батерия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035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076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43EF7B94" w14:textId="77777777" w:rsidTr="00986B1F">
        <w:trPr>
          <w:trHeight w:val="259"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B8513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</w:pPr>
            <w:proofErr w:type="spellStart"/>
            <w:r w:rsidRPr="00986B1F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>Gateway</w:t>
            </w:r>
            <w:proofErr w:type="spellEnd"/>
            <w:r w:rsidRPr="00986B1F">
              <w:rPr>
                <w:rFonts w:ascii="Times New Roman" w:hAnsi="Times New Roman"/>
                <w:color w:val="000000"/>
                <w:sz w:val="22"/>
                <w:szCs w:val="22"/>
                <w:lang w:val="bg-BG" w:eastAsia="bg-BG"/>
              </w:rPr>
              <w:t xml:space="preserve"> A850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DE21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629F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Цяла система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E1DF0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7885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</w:p>
        </w:tc>
      </w:tr>
      <w:tr w:rsidR="00986B1F" w:rsidRPr="00986B1F" w14:paraId="7352707B" w14:textId="77777777" w:rsidTr="00986B1F">
        <w:trPr>
          <w:trHeight w:val="259"/>
          <w:jc w:val="center"/>
        </w:trPr>
        <w:tc>
          <w:tcPr>
            <w:tcW w:w="8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C0F2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 w:eastAsia="bg-BG"/>
              </w:rPr>
              <w:t>Общо: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D823" w14:textId="77777777" w:rsidR="00986B1F" w:rsidRPr="00986B1F" w:rsidRDefault="00986B1F" w:rsidP="00986B1F">
            <w:pPr>
              <w:jc w:val="both"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</w:pPr>
            <w:r w:rsidRPr="00986B1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31BCC01D" w14:textId="77777777" w:rsidR="00986B1F" w:rsidRDefault="00986B1F" w:rsidP="00986B1F">
      <w:pPr>
        <w:widowControl w:val="0"/>
        <w:jc w:val="both"/>
        <w:rPr>
          <w:rFonts w:ascii="Times New Roman" w:eastAsia="Calibri" w:hAnsi="Times New Roman"/>
          <w:b/>
          <w:bCs/>
          <w:i/>
          <w:sz w:val="22"/>
          <w:szCs w:val="22"/>
          <w:lang w:val="bg-BG"/>
        </w:rPr>
      </w:pPr>
    </w:p>
    <w:p w14:paraId="3CB2209C" w14:textId="3122D5D4" w:rsidR="00986B1F" w:rsidRPr="00986B1F" w:rsidRDefault="00986B1F" w:rsidP="00986B1F">
      <w:pPr>
        <w:widowControl w:val="0"/>
        <w:jc w:val="both"/>
        <w:rPr>
          <w:rFonts w:ascii="Times New Roman" w:eastAsia="Calibri" w:hAnsi="Times New Roman"/>
          <w:b/>
          <w:bCs/>
          <w:sz w:val="22"/>
          <w:szCs w:val="22"/>
          <w:lang w:val="bg-BG"/>
        </w:rPr>
      </w:pPr>
      <w:r w:rsidRPr="00986B1F">
        <w:rPr>
          <w:rFonts w:ascii="Times New Roman" w:eastAsia="Calibri" w:hAnsi="Times New Roman"/>
          <w:b/>
          <w:bCs/>
          <w:sz w:val="22"/>
          <w:szCs w:val="22"/>
          <w:lang w:val="bg-BG"/>
        </w:rPr>
        <w:t xml:space="preserve">Забележка: </w:t>
      </w:r>
    </w:p>
    <w:p w14:paraId="2071EFD2" w14:textId="77777777" w:rsidR="00986B1F" w:rsidRPr="00986B1F" w:rsidRDefault="00986B1F" w:rsidP="00986B1F">
      <w:pPr>
        <w:widowControl w:val="0"/>
        <w:jc w:val="both"/>
        <w:rPr>
          <w:rFonts w:ascii="Times New Roman" w:eastAsia="Calibri" w:hAnsi="Times New Roman"/>
          <w:b/>
          <w:bCs/>
          <w:sz w:val="22"/>
          <w:szCs w:val="22"/>
          <w:lang w:val="bg-BG"/>
        </w:rPr>
      </w:pPr>
    </w:p>
    <w:p w14:paraId="1899D951" w14:textId="4E0A21E8" w:rsidR="00986B1F" w:rsidRDefault="00986B1F" w:rsidP="00986B1F">
      <w:pPr>
        <w:widowControl w:val="0"/>
        <w:jc w:val="both"/>
        <w:rPr>
          <w:rFonts w:ascii="Times New Roman" w:eastAsia="Calibri" w:hAnsi="Times New Roman"/>
          <w:b/>
          <w:bCs/>
          <w:sz w:val="22"/>
          <w:szCs w:val="22"/>
          <w:lang w:val="bg-BG"/>
        </w:rPr>
      </w:pPr>
      <w:r w:rsidRPr="00986B1F">
        <w:rPr>
          <w:rFonts w:ascii="Times New Roman" w:eastAsia="Calibri" w:hAnsi="Times New Roman"/>
          <w:b/>
          <w:bCs/>
          <w:sz w:val="22"/>
          <w:szCs w:val="22"/>
          <w:lang w:val="bg-BG"/>
        </w:rPr>
        <w:t>*В единичните цени за резервните части е включена и цената за подмяна.</w:t>
      </w:r>
    </w:p>
    <w:p w14:paraId="75C39A38" w14:textId="77777777" w:rsidR="00986B1F" w:rsidRPr="00986B1F" w:rsidRDefault="00986B1F" w:rsidP="00986B1F">
      <w:pPr>
        <w:widowControl w:val="0"/>
        <w:jc w:val="both"/>
        <w:rPr>
          <w:rFonts w:ascii="Times New Roman" w:eastAsia="Calibri" w:hAnsi="Times New Roman"/>
          <w:b/>
          <w:bCs/>
          <w:sz w:val="22"/>
          <w:szCs w:val="22"/>
          <w:lang w:val="bg-BG"/>
        </w:rPr>
      </w:pPr>
    </w:p>
    <w:p w14:paraId="6132A754" w14:textId="77777777" w:rsidR="00986B1F" w:rsidRPr="00986B1F" w:rsidRDefault="00986B1F" w:rsidP="00986B1F">
      <w:pPr>
        <w:widowControl w:val="0"/>
        <w:numPr>
          <w:ilvl w:val="0"/>
          <w:numId w:val="1"/>
        </w:numPr>
        <w:ind w:left="0" w:firstLine="0"/>
        <w:contextualSpacing/>
        <w:jc w:val="both"/>
        <w:rPr>
          <w:rFonts w:ascii="Times New Roman" w:eastAsia="Calibri" w:hAnsi="Times New Roman"/>
          <w:spacing w:val="0"/>
          <w:sz w:val="22"/>
          <w:szCs w:val="22"/>
          <w:lang w:val="bg-BG"/>
        </w:rPr>
      </w:pPr>
      <w:bookmarkStart w:id="2" w:name="_Ref105492585"/>
      <w:r w:rsidRPr="00986B1F">
        <w:rPr>
          <w:rFonts w:ascii="Times New Roman" w:eastAsia="Calibri" w:hAnsi="Times New Roman"/>
          <w:spacing w:val="0"/>
          <w:sz w:val="22"/>
          <w:szCs w:val="22"/>
          <w:lang w:val="bg-BG"/>
        </w:rPr>
        <w:t xml:space="preserve">При възникнала необходимост и при поискване от страна на Възложителя за подмяна на части извън посочените в Ценова таблица 2 от раздел Б Цени и данни, Изпълнителят предоставя калкулация с информация за цените. Калкулацията се прилага единствено след одобрение от Контролиращия служител по договора от страна на Възложителя. </w:t>
      </w:r>
      <w:bookmarkEnd w:id="2"/>
      <w:r w:rsidRPr="00986B1F">
        <w:rPr>
          <w:rFonts w:ascii="Times New Roman" w:eastAsia="Calibri" w:hAnsi="Times New Roman"/>
          <w:spacing w:val="0"/>
          <w:sz w:val="22"/>
          <w:szCs w:val="22"/>
          <w:lang w:val="bg-BG"/>
        </w:rPr>
        <w:t>Максималният общ размер на разходите за такива случаи е до 10% (десет процента) без ДДС от общата стойност на договора.</w:t>
      </w:r>
    </w:p>
    <w:p w14:paraId="6808F81E" w14:textId="77777777" w:rsidR="008E42C9" w:rsidRDefault="008E42C9" w:rsidP="00986B1F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sectPr w:rsidR="008E4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2E60D4"/>
    <w:rsid w:val="00366CC2"/>
    <w:rsid w:val="007B2E4A"/>
    <w:rsid w:val="008E42C9"/>
    <w:rsid w:val="00934394"/>
    <w:rsid w:val="00986B1F"/>
    <w:rsid w:val="009A7D3A"/>
    <w:rsid w:val="00A0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8</cp:revision>
  <dcterms:created xsi:type="dcterms:W3CDTF">2023-08-17T06:44:00Z</dcterms:created>
  <dcterms:modified xsi:type="dcterms:W3CDTF">2025-07-30T10:12:00Z</dcterms:modified>
</cp:coreProperties>
</file>